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val="en-US" w:eastAsia="zh-CN"/>
        </w:rPr>
        <w:t>审计局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ascii="Times New Roman" w:hAnsi="Times New Roman" w:eastAsia="仿宋_GB2312"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Times New Roman"/>
          <w:sz w:val="32"/>
          <w:szCs w:val="32"/>
        </w:rPr>
      </w:pPr>
      <w:r>
        <w:rPr>
          <w:rFonts w:ascii="仿宋" w:hAnsi="仿宋" w:eastAsia="仿宋" w:cs="Times New Roman"/>
          <w:sz w:val="32"/>
          <w:szCs w:val="32"/>
        </w:rPr>
        <w:t>按照《中华人民共和国预算法》、《中华人民共和国预算法实施条例》、《地方预决算公开操作规程》和《河北省省级预算公开办法》规定，现将</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w:t>
      </w: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年部门预算公开如下：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Times New Roman"/>
          <w:sz w:val="32"/>
          <w:szCs w:val="32"/>
        </w:rPr>
      </w:pPr>
      <w:r>
        <w:rPr>
          <w:rFonts w:ascii="黑体" w:hAnsi="黑体" w:eastAsia="黑体" w:cs="Times New Roman"/>
          <w:sz w:val="32"/>
          <w:szCs w:val="32"/>
        </w:rPr>
        <w:t>一、部门职责及机构设置情况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Times New Roman"/>
          <w:b/>
          <w:sz w:val="32"/>
          <w:szCs w:val="32"/>
        </w:rPr>
      </w:pPr>
      <w:r>
        <w:rPr>
          <w:rFonts w:ascii="楷体" w:hAnsi="楷体" w:eastAsia="楷体"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组织领导全县的审计工作，监督检查国家财经法规的贯彻落实，查处与财政收支、财务收支有关的违法违纪行为，维护财政经济秩序，促进廉政建设，保证国民经济和社会健康发展。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（一）对县本级各部门(含直属单位)和下级政府预算的执行情况和决算以及其他财政收支情况，进行审计监督。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（二）对县本级预算执行情况和其他财政收支情况进行审计监督，向县政府和市审计局提出审计结果报告；受县政府委托向县人大常委会提出本级预算执行情况和其他财政收支的审计工作报告。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（三）对县属国有金融机构的资产、负债、损益，进行审计监督。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（四）对县属的事业组织和使用财政资金的其他事业组织的财务收支，进行审计监督。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（五）对县属国有企业的资产、负债、损益，进行审计监督。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（六）根据国家有关规定，对国有资本占控股地位或者主导地位的县属企业、金融机构进行审计监督。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（七）对县政府投资和以市政府投资为主的建设项目的预算执行情况和决算，进行审计监督。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（八）对县政府部门管理的和其他单位受县政府委托管理的社会保障基金、社会捐赠资金以及其他有关基金、资金的财务收支，进行审计监督。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九）按照国家有关规定，根据干部监督、管理部门的委托，对县辖镇（乡）党政机关，县直机关及事业单位，县属国有及国有控股企业和依法属于县审计局审计监督对象的其他单位的主要负责人任期经济责任履行情况，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（十）除审计法规定的审计事项外，对其他法律、行政法规规定应当由县审计局进行审计的事项，依照审计法和有关法律、行政法规的规定进行审计监督。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（十一）对全县内部审计工作进行业务指导和监督。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（十二）按照国家有关规定，对社会审计机构审计的单位依法属于县审计局审计监督对象的，县审计局有权对该社会审计机构出具的相关审计报告进行核查。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（十三）贯彻落实国家审计法律、法规和规章，研究拟定地方性审计规章制度，参与制定地方财经法规和规章并监督执行。</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00" w:hRule="atLeast"/>
          <w:tblHeader/>
          <w:jc w:val="center"/>
        </w:trPr>
        <w:tc>
          <w:tcPr>
            <w:tcW w:w="4443"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134"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27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90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13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2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9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ind w:firstLine="640" w:firstLineChars="200"/>
              <w:jc w:val="left"/>
              <w:rPr>
                <w:rFonts w:ascii="仿宋" w:hAnsi="仿宋" w:eastAsia="仿宋" w:cs="仿宋"/>
                <w:sz w:val="32"/>
                <w:szCs w:val="32"/>
              </w:rPr>
            </w:pPr>
            <w:r>
              <w:rPr>
                <w:rFonts w:hint="eastAsia" w:ascii="仿宋" w:hAnsi="仿宋" w:eastAsia="仿宋" w:cs="仿宋"/>
                <w:sz w:val="32"/>
                <w:szCs w:val="32"/>
              </w:rPr>
              <w:t>大厂回族自治县审计局</w:t>
            </w:r>
          </w:p>
        </w:tc>
        <w:tc>
          <w:tcPr>
            <w:tcW w:w="1134" w:type="dxa"/>
            <w:shd w:val="clear" w:color="auto" w:fill="auto"/>
            <w:vAlign w:val="center"/>
          </w:tcPr>
          <w:p>
            <w:pPr>
              <w:jc w:val="left"/>
              <w:rPr>
                <w:rFonts w:ascii="仿宋" w:hAnsi="仿宋" w:eastAsia="仿宋" w:cs="仿宋"/>
                <w:sz w:val="32"/>
                <w:szCs w:val="32"/>
              </w:rPr>
            </w:pPr>
            <w:r>
              <w:rPr>
                <w:rFonts w:hint="eastAsia" w:ascii="仿宋" w:hAnsi="仿宋" w:eastAsia="仿宋" w:cs="仿宋"/>
                <w:sz w:val="32"/>
                <w:szCs w:val="32"/>
              </w:rPr>
              <w:t>行政单位</w:t>
            </w:r>
          </w:p>
        </w:tc>
        <w:tc>
          <w:tcPr>
            <w:tcW w:w="1276" w:type="dxa"/>
            <w:shd w:val="clear" w:color="auto" w:fill="auto"/>
            <w:vAlign w:val="center"/>
          </w:tcPr>
          <w:p>
            <w:pPr>
              <w:jc w:val="left"/>
              <w:rPr>
                <w:rFonts w:ascii="仿宋" w:hAnsi="仿宋" w:eastAsia="仿宋" w:cs="仿宋"/>
                <w:sz w:val="32"/>
                <w:szCs w:val="32"/>
              </w:rPr>
            </w:pPr>
            <w:r>
              <w:rPr>
                <w:rFonts w:hint="eastAsia" w:ascii="仿宋" w:hAnsi="仿宋" w:eastAsia="仿宋" w:cs="仿宋"/>
                <w:sz w:val="32"/>
                <w:szCs w:val="32"/>
              </w:rPr>
              <w:t>正科级</w:t>
            </w:r>
          </w:p>
        </w:tc>
        <w:tc>
          <w:tcPr>
            <w:tcW w:w="2902" w:type="dxa"/>
            <w:shd w:val="clear" w:color="auto" w:fill="auto"/>
            <w:vAlign w:val="center"/>
          </w:tcPr>
          <w:p>
            <w:pPr>
              <w:ind w:firstLine="640" w:firstLineChars="200"/>
              <w:jc w:val="left"/>
              <w:rPr>
                <w:rFonts w:ascii="仿宋" w:hAnsi="仿宋" w:eastAsia="仿宋" w:cs="仿宋"/>
                <w:sz w:val="32"/>
                <w:szCs w:val="32"/>
              </w:rPr>
            </w:pPr>
            <w:r>
              <w:rPr>
                <w:rFonts w:hint="eastAsia" w:ascii="仿宋" w:hAnsi="仿宋" w:eastAsia="仿宋" w:cs="仿宋"/>
                <w:sz w:val="32"/>
                <w:szCs w:val="32"/>
              </w:rPr>
              <w:t>财政拨款</w:t>
            </w:r>
          </w:p>
        </w:tc>
      </w:tr>
    </w:tbl>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按照预算管理有关规定，目前</w:t>
      </w:r>
      <w:r>
        <w:rPr>
          <w:rFonts w:hint="eastAsia" w:ascii="仿宋" w:hAnsi="仿宋" w:eastAsia="仿宋" w:cs="仿宋"/>
          <w:sz w:val="32"/>
          <w:szCs w:val="32"/>
          <w:lang w:val="en-US" w:eastAsia="zh-CN"/>
        </w:rPr>
        <w:t>我部门</w:t>
      </w:r>
      <w:r>
        <w:rPr>
          <w:rFonts w:hint="eastAsia" w:ascii="仿宋" w:hAnsi="仿宋" w:eastAsia="仿宋" w:cs="仿宋"/>
          <w:sz w:val="32"/>
          <w:szCs w:val="32"/>
        </w:rPr>
        <w:t>预算的编制实行综合预算制度，即全部收入和支出都反映在预算中。我部门</w:t>
      </w:r>
      <w:r>
        <w:rPr>
          <w:rFonts w:hint="eastAsia" w:ascii="仿宋" w:hAnsi="仿宋" w:eastAsia="仿宋" w:cs="仿宋"/>
          <w:sz w:val="32"/>
          <w:szCs w:val="32"/>
          <w:lang w:val="en-US" w:eastAsia="zh-CN"/>
        </w:rPr>
        <w:t>机关的</w:t>
      </w:r>
      <w:r>
        <w:rPr>
          <w:rFonts w:hint="eastAsia" w:ascii="仿宋" w:hAnsi="仿宋" w:eastAsia="仿宋" w:cs="仿宋"/>
          <w:sz w:val="32"/>
          <w:szCs w:val="32"/>
        </w:rPr>
        <w:t>全部收支</w:t>
      </w:r>
      <w:r>
        <w:rPr>
          <w:rFonts w:hint="eastAsia" w:ascii="仿宋" w:hAnsi="仿宋" w:eastAsia="仿宋" w:cs="仿宋"/>
          <w:sz w:val="32"/>
          <w:szCs w:val="32"/>
          <w:lang w:val="en-US" w:eastAsia="zh-CN"/>
        </w:rPr>
        <w:t>都</w:t>
      </w:r>
      <w:r>
        <w:rPr>
          <w:rFonts w:hint="eastAsia" w:ascii="仿宋" w:hAnsi="仿宋" w:eastAsia="仿宋" w:cs="仿宋"/>
          <w:sz w:val="32"/>
          <w:szCs w:val="32"/>
        </w:rPr>
        <w:t>包含在部门预算中。</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 w:hAnsi="仿宋" w:eastAsia="仿宋" w:cs="Times New Roman"/>
          <w:b/>
          <w:sz w:val="32"/>
          <w:szCs w:val="32"/>
        </w:rPr>
      </w:pPr>
      <w:r>
        <w:rPr>
          <w:rFonts w:ascii="仿宋" w:hAnsi="仿宋" w:eastAsia="仿宋" w:cs="Times New Roman"/>
          <w:b/>
          <w:sz w:val="32"/>
          <w:szCs w:val="32"/>
        </w:rPr>
        <w:t>1、收入说明</w:t>
      </w:r>
    </w:p>
    <w:p>
      <w:pPr>
        <w:keepNext w:val="0"/>
        <w:keepLines w:val="0"/>
        <w:pageBreakBefore w:val="0"/>
        <w:widowControl w:val="0"/>
        <w:kinsoku/>
        <w:wordWrap/>
        <w:overflowPunct/>
        <w:topLinePunct w:val="0"/>
        <w:bidi w:val="0"/>
        <w:snapToGrid/>
        <w:spacing w:line="560" w:lineRule="exact"/>
        <w:ind w:firstLine="640"/>
        <w:textAlignment w:val="auto"/>
        <w:rPr>
          <w:rFonts w:ascii="仿宋" w:hAnsi="仿宋" w:eastAsia="仿宋" w:cs="Times New Roman"/>
          <w:sz w:val="32"/>
          <w:szCs w:val="32"/>
        </w:rPr>
      </w:pPr>
      <w:r>
        <w:rPr>
          <w:rFonts w:ascii="仿宋" w:hAnsi="仿宋" w:eastAsia="仿宋" w:cs="Times New Roman"/>
          <w:sz w:val="32"/>
          <w:szCs w:val="32"/>
        </w:rPr>
        <w:t>反映本部门当年全部收入。</w:t>
      </w:r>
      <w:r>
        <w:rPr>
          <w:rFonts w:hint="eastAsia" w:ascii="仿宋" w:hAnsi="仿宋" w:eastAsia="仿宋" w:cs="Times New Roman"/>
          <w:sz w:val="32"/>
          <w:szCs w:val="32"/>
        </w:rPr>
        <w:t>2021</w:t>
      </w:r>
      <w:r>
        <w:rPr>
          <w:rFonts w:ascii="仿宋" w:hAnsi="仿宋" w:eastAsia="仿宋" w:cs="Times New Roman"/>
          <w:sz w:val="32"/>
          <w:szCs w:val="32"/>
        </w:rPr>
        <w:t>年预算收入</w:t>
      </w:r>
      <w:r>
        <w:rPr>
          <w:rFonts w:hint="eastAsia" w:ascii="仿宋" w:hAnsi="仿宋" w:eastAsia="仿宋" w:cs="Times New Roman"/>
          <w:sz w:val="32"/>
          <w:szCs w:val="32"/>
        </w:rPr>
        <w:t>972.89</w:t>
      </w:r>
      <w:r>
        <w:rPr>
          <w:rFonts w:ascii="仿宋" w:hAnsi="仿宋" w:eastAsia="仿宋" w:cs="Times New Roman"/>
          <w:sz w:val="32"/>
          <w:szCs w:val="32"/>
        </w:rPr>
        <w:t>万元，其中：一般公共预算收入</w:t>
      </w:r>
      <w:r>
        <w:rPr>
          <w:rFonts w:hint="eastAsia" w:ascii="仿宋" w:hAnsi="仿宋" w:eastAsia="仿宋" w:cs="Times New Roman"/>
          <w:sz w:val="32"/>
          <w:szCs w:val="32"/>
        </w:rPr>
        <w:t>972.89</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1.6</w:t>
      </w:r>
      <w:r>
        <w:rPr>
          <w:rFonts w:hint="eastAsia" w:ascii="仿宋" w:hAnsi="仿宋" w:eastAsia="仿宋" w:cs="Times New Roman"/>
          <w:sz w:val="32"/>
          <w:szCs w:val="32"/>
        </w:rPr>
        <w:t>万元</w:t>
      </w:r>
      <w:r>
        <w:rPr>
          <w:rFonts w:ascii="仿宋" w:hAnsi="仿宋" w:eastAsia="仿宋" w:cs="Times New Roman"/>
          <w:sz w:val="32"/>
          <w:szCs w:val="32"/>
        </w:rPr>
        <w:t>。</w:t>
      </w:r>
    </w:p>
    <w:p>
      <w:pPr>
        <w:keepNext w:val="0"/>
        <w:keepLines w:val="0"/>
        <w:pageBreakBefore w:val="0"/>
        <w:widowControl w:val="0"/>
        <w:kinsoku/>
        <w:wordWrap/>
        <w:overflowPunct/>
        <w:topLinePunct w:val="0"/>
        <w:bidi w:val="0"/>
        <w:snapToGrid/>
        <w:spacing w:line="560"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2、支出说明</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ascii="仿宋" w:hAnsi="仿宋" w:eastAsia="仿宋" w:cs="仿宋"/>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审计局2021</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21</w:t>
      </w:r>
      <w:r>
        <w:rPr>
          <w:rFonts w:ascii="仿宋" w:hAnsi="仿宋" w:eastAsia="仿宋" w:cs="Times New Roman"/>
          <w:sz w:val="32"/>
          <w:szCs w:val="32"/>
        </w:rPr>
        <w:t>年支出预算</w:t>
      </w:r>
      <w:r>
        <w:rPr>
          <w:rFonts w:hint="eastAsia" w:ascii="仿宋" w:hAnsi="仿宋" w:eastAsia="仿宋" w:cs="Times New Roman"/>
          <w:sz w:val="32"/>
          <w:szCs w:val="32"/>
        </w:rPr>
        <w:t>972.89</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835.19</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720.60</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114.59</w:t>
      </w:r>
      <w:r>
        <w:rPr>
          <w:rFonts w:ascii="仿宋" w:hAnsi="仿宋" w:eastAsia="仿宋" w:cs="Times New Roman"/>
          <w:sz w:val="32"/>
          <w:szCs w:val="32"/>
        </w:rPr>
        <w:t>万元；</w:t>
      </w:r>
      <w:r>
        <w:rPr>
          <w:rFonts w:hint="eastAsia" w:ascii="仿宋" w:hAnsi="仿宋" w:eastAsia="仿宋" w:cs="仿宋"/>
          <w:sz w:val="32"/>
          <w:szCs w:val="32"/>
        </w:rPr>
        <w:t>项目支出</w:t>
      </w:r>
      <w:r>
        <w:rPr>
          <w:rFonts w:hint="eastAsia" w:ascii="仿宋" w:hAnsi="仿宋" w:eastAsia="仿宋" w:cs="Times New Roman"/>
          <w:sz w:val="32"/>
          <w:szCs w:val="32"/>
          <w:lang w:val="en-US" w:eastAsia="zh-CN"/>
        </w:rPr>
        <w:t>137.70</w:t>
      </w:r>
      <w:r>
        <w:rPr>
          <w:rFonts w:hint="eastAsia" w:ascii="仿宋" w:hAnsi="仿宋" w:eastAsia="仿宋" w:cs="仿宋"/>
          <w:sz w:val="32"/>
          <w:szCs w:val="32"/>
        </w:rPr>
        <w:t>万元，包括本级支出，主要为</w:t>
      </w:r>
      <w:r>
        <w:rPr>
          <w:rFonts w:hint="eastAsia" w:ascii="仿宋" w:hAnsi="仿宋" w:eastAsia="仿宋" w:cs="Times New Roman"/>
          <w:sz w:val="32"/>
          <w:szCs w:val="32"/>
        </w:rPr>
        <w:t>一级预算单位数据采集分析、办公楼防水及维修、维护费、专项审计业务经费</w:t>
      </w:r>
      <w:r>
        <w:rPr>
          <w:rFonts w:hint="eastAsia" w:ascii="方正仿宋_GBK" w:eastAsia="方正仿宋_GBK"/>
          <w:b/>
          <w:sz w:val="28"/>
          <w:lang w:eastAsia="zh-CN"/>
        </w:rPr>
        <w:t>、</w:t>
      </w:r>
      <w:r>
        <w:rPr>
          <w:rFonts w:hint="eastAsia" w:ascii="仿宋" w:hAnsi="仿宋" w:eastAsia="仿宋" w:cs="仿宋"/>
          <w:sz w:val="32"/>
          <w:szCs w:val="32"/>
          <w:lang w:val="en-US" w:eastAsia="zh-CN"/>
        </w:rPr>
        <w:t>项目审计费</w:t>
      </w:r>
      <w:r>
        <w:rPr>
          <w:rFonts w:hint="eastAsia" w:ascii="仿宋" w:hAnsi="仿宋" w:eastAsia="仿宋" w:cs="仿宋"/>
          <w:sz w:val="32"/>
          <w:szCs w:val="32"/>
        </w:rPr>
        <w:t>及其他审计事务支出。</w:t>
      </w:r>
    </w:p>
    <w:p>
      <w:pPr>
        <w:keepNext w:val="0"/>
        <w:keepLines w:val="0"/>
        <w:pageBreakBefore w:val="0"/>
        <w:widowControl w:val="0"/>
        <w:kinsoku/>
        <w:wordWrap/>
        <w:overflowPunct/>
        <w:topLinePunct w:val="0"/>
        <w:bidi w:val="0"/>
        <w:snapToGrid/>
        <w:spacing w:line="560" w:lineRule="exact"/>
        <w:ind w:firstLine="640"/>
        <w:textAlignment w:val="auto"/>
        <w:rPr>
          <w:rFonts w:ascii="仿宋" w:hAnsi="仿宋" w:eastAsia="仿宋" w:cs="Times New Roman"/>
          <w:b/>
          <w:sz w:val="32"/>
          <w:szCs w:val="32"/>
        </w:rPr>
      </w:pPr>
      <w:r>
        <w:rPr>
          <w:rFonts w:ascii="仿宋" w:hAnsi="仿宋" w:eastAsia="仿宋" w:cs="Times New Roman"/>
          <w:b/>
          <w:sz w:val="32"/>
          <w:szCs w:val="32"/>
        </w:rPr>
        <w:t>3、比上年增减情况</w:t>
      </w:r>
    </w:p>
    <w:p>
      <w:pPr>
        <w:keepNext w:val="0"/>
        <w:keepLines w:val="0"/>
        <w:pageBreakBefore w:val="0"/>
        <w:widowControl w:val="0"/>
        <w:kinsoku/>
        <w:wordWrap/>
        <w:overflowPunct/>
        <w:topLinePunct w:val="0"/>
        <w:bidi w:val="0"/>
        <w:snapToGrid/>
        <w:spacing w:line="560" w:lineRule="exact"/>
        <w:ind w:firstLine="640"/>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年预算收支安排</w:t>
      </w:r>
      <w:r>
        <w:rPr>
          <w:rFonts w:hint="eastAsia" w:ascii="仿宋" w:hAnsi="仿宋" w:eastAsia="仿宋" w:cs="Times New Roman"/>
          <w:sz w:val="32"/>
          <w:szCs w:val="32"/>
        </w:rPr>
        <w:t>972.89万</w:t>
      </w:r>
      <w:r>
        <w:rPr>
          <w:rFonts w:ascii="仿宋" w:hAnsi="仿宋" w:eastAsia="仿宋" w:cs="Times New Roman"/>
          <w:sz w:val="32"/>
          <w:szCs w:val="32"/>
        </w:rPr>
        <w:t>元，较20</w:t>
      </w:r>
      <w:r>
        <w:rPr>
          <w:rFonts w:hint="eastAsia" w:ascii="仿宋" w:hAnsi="仿宋" w:eastAsia="仿宋" w:cs="Times New Roman"/>
          <w:sz w:val="32"/>
          <w:szCs w:val="32"/>
        </w:rPr>
        <w:t>20</w:t>
      </w:r>
      <w:r>
        <w:rPr>
          <w:rFonts w:ascii="仿宋" w:hAnsi="仿宋" w:eastAsia="仿宋" w:cs="Times New Roman"/>
          <w:sz w:val="32"/>
          <w:szCs w:val="32"/>
        </w:rPr>
        <w:t>年预算</w:t>
      </w:r>
      <w:r>
        <w:rPr>
          <w:rFonts w:hint="eastAsia" w:ascii="仿宋" w:hAnsi="仿宋" w:eastAsia="仿宋" w:cs="Times New Roman"/>
          <w:sz w:val="32"/>
          <w:szCs w:val="32"/>
          <w:lang w:val="en-US" w:eastAsia="zh-CN"/>
        </w:rPr>
        <w:t>减少61.37</w:t>
      </w:r>
      <w:r>
        <w:rPr>
          <w:rFonts w:ascii="仿宋" w:hAnsi="仿宋" w:eastAsia="仿宋" w:cs="Times New Roman"/>
          <w:sz w:val="32"/>
          <w:szCs w:val="32"/>
        </w:rPr>
        <w:t>万元，其中：基本支出增加</w:t>
      </w:r>
      <w:r>
        <w:rPr>
          <w:rFonts w:hint="eastAsia" w:ascii="仿宋" w:hAnsi="仿宋" w:eastAsia="仿宋" w:cs="Times New Roman"/>
          <w:sz w:val="32"/>
          <w:szCs w:val="32"/>
          <w:lang w:val="en-US" w:eastAsia="zh-CN"/>
        </w:rPr>
        <w:t>65.93</w:t>
      </w:r>
      <w:r>
        <w:rPr>
          <w:rFonts w:ascii="仿宋" w:hAnsi="仿宋" w:eastAsia="仿宋" w:cs="Times New Roman"/>
          <w:sz w:val="32"/>
          <w:szCs w:val="32"/>
        </w:rPr>
        <w:t>万元，</w:t>
      </w:r>
      <w:r>
        <w:rPr>
          <w:rFonts w:hint="eastAsia" w:ascii="仿宋" w:hAnsi="仿宋" w:eastAsia="仿宋" w:cs="仿宋"/>
          <w:sz w:val="32"/>
          <w:szCs w:val="32"/>
        </w:rPr>
        <w:t>主要为增加人员经费支出</w:t>
      </w:r>
      <w:r>
        <w:rPr>
          <w:rFonts w:ascii="仿宋" w:hAnsi="仿宋" w:eastAsia="仿宋" w:cs="Times New Roman"/>
          <w:sz w:val="32"/>
          <w:szCs w:val="32"/>
        </w:rPr>
        <w:t>；项目支出</w:t>
      </w:r>
      <w:r>
        <w:rPr>
          <w:rFonts w:hint="eastAsia" w:ascii="仿宋" w:hAnsi="仿宋" w:eastAsia="仿宋" w:cs="Times New Roman"/>
          <w:sz w:val="32"/>
          <w:szCs w:val="32"/>
          <w:lang w:val="en-US" w:eastAsia="zh-CN"/>
        </w:rPr>
        <w:t>减少127.3</w:t>
      </w:r>
      <w:r>
        <w:rPr>
          <w:rFonts w:ascii="仿宋" w:hAnsi="仿宋" w:eastAsia="仿宋" w:cs="Times New Roman"/>
          <w:sz w:val="32"/>
          <w:szCs w:val="32"/>
        </w:rPr>
        <w:t>万元，主要</w:t>
      </w:r>
      <w:r>
        <w:rPr>
          <w:rFonts w:hint="eastAsia" w:ascii="仿宋" w:hAnsi="仿宋" w:eastAsia="仿宋" w:cs="Times New Roman"/>
          <w:sz w:val="32"/>
          <w:szCs w:val="32"/>
          <w:lang w:val="en-US" w:eastAsia="zh-CN"/>
        </w:rPr>
        <w:t>减少了</w:t>
      </w:r>
      <w:r>
        <w:rPr>
          <w:rFonts w:hint="eastAsia" w:ascii="仿宋" w:hAnsi="仿宋" w:eastAsia="仿宋" w:cs="仿宋"/>
          <w:sz w:val="32"/>
          <w:szCs w:val="32"/>
          <w:lang w:val="en-US" w:eastAsia="zh-CN"/>
        </w:rPr>
        <w:t>项目审计费</w:t>
      </w:r>
      <w:r>
        <w:rPr>
          <w:rFonts w:hint="eastAsia" w:ascii="仿宋" w:hAnsi="仿宋" w:eastAsia="仿宋" w:cs="Times New Roman"/>
          <w:sz w:val="32"/>
          <w:szCs w:val="32"/>
          <w:lang w:val="en-US" w:eastAsia="zh-CN"/>
        </w:rPr>
        <w:t>的支出</w:t>
      </w:r>
      <w:r>
        <w:rPr>
          <w:rFonts w:ascii="仿宋" w:hAnsi="仿宋" w:eastAsia="仿宋" w:cs="Times New Roman"/>
          <w:sz w:val="32"/>
          <w:szCs w:val="32"/>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198"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overflowPunct/>
        <w:topLinePunct w:val="0"/>
        <w:autoSpaceDE w:val="0"/>
        <w:autoSpaceDN w:val="0"/>
        <w:bidi w:val="0"/>
        <w:adjustRightInd w:val="0"/>
        <w:snapToGrid/>
        <w:spacing w:line="560" w:lineRule="exact"/>
        <w:ind w:left="198" w:firstLine="640" w:firstLineChars="200"/>
        <w:jc w:val="left"/>
        <w:textAlignment w:val="auto"/>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ascii="仿宋" w:hAnsi="仿宋" w:eastAsia="仿宋" w:cs="Times New Roman"/>
          <w:sz w:val="32"/>
          <w:szCs w:val="32"/>
        </w:rPr>
        <w:t>年，我局机关运行经费共计安排</w:t>
      </w:r>
      <w:r>
        <w:rPr>
          <w:rFonts w:hint="eastAsia" w:ascii="仿宋" w:hAnsi="仿宋" w:eastAsia="仿宋" w:cs="Times New Roman"/>
          <w:sz w:val="32"/>
          <w:szCs w:val="32"/>
          <w:lang w:val="en-US" w:eastAsia="zh-CN"/>
        </w:rPr>
        <w:t>114.59</w:t>
      </w:r>
      <w:r>
        <w:rPr>
          <w:rFonts w:ascii="仿宋" w:hAnsi="仿宋" w:eastAsia="仿宋" w:cs="Times New Roman"/>
          <w:sz w:val="32"/>
          <w:szCs w:val="32"/>
        </w:rPr>
        <w:t>万元，主要用于</w:t>
      </w:r>
      <w:r>
        <w:rPr>
          <w:rFonts w:hint="eastAsia" w:ascii="仿宋" w:hAnsi="仿宋" w:eastAsia="仿宋" w:cs="Times New Roman"/>
          <w:sz w:val="32"/>
          <w:szCs w:val="32"/>
          <w:lang w:val="en-US" w:eastAsia="zh-CN"/>
        </w:rPr>
        <w:t>审计局</w:t>
      </w:r>
      <w:r>
        <w:rPr>
          <w:rFonts w:ascii="仿宋" w:hAnsi="仿宋" w:eastAsia="仿宋" w:cs="Times New Roman"/>
          <w:sz w:val="32"/>
          <w:szCs w:val="32"/>
        </w:rPr>
        <w:t>办公区的日常维修、办公用房水电费、办公用房取暖费、办公用房物业管理费等日常运行支出。</w:t>
      </w:r>
    </w:p>
    <w:p>
      <w:pPr>
        <w:keepNext w:val="0"/>
        <w:keepLines w:val="0"/>
        <w:pageBreakBefore w:val="0"/>
        <w:widowControl w:val="0"/>
        <w:kinsoku/>
        <w:wordWrap/>
        <w:overflowPunct/>
        <w:topLinePunct w:val="0"/>
        <w:autoSpaceDE w:val="0"/>
        <w:autoSpaceDN w:val="0"/>
        <w:bidi w:val="0"/>
        <w:adjustRightInd w:val="0"/>
        <w:snapToGrid/>
        <w:spacing w:line="560" w:lineRule="exact"/>
        <w:ind w:firstLine="707" w:firstLineChars="221"/>
        <w:jc w:val="left"/>
        <w:textAlignment w:val="auto"/>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keepNext w:val="0"/>
        <w:keepLines w:val="0"/>
        <w:pageBreakBefore w:val="0"/>
        <w:widowControl w:val="0"/>
        <w:kinsoku/>
        <w:wordWrap/>
        <w:overflowPunct/>
        <w:topLinePunct w:val="0"/>
        <w:autoSpaceDE w:val="0"/>
        <w:autoSpaceDN w:val="0"/>
        <w:bidi w:val="0"/>
        <w:adjustRightInd w:val="0"/>
        <w:snapToGrid/>
        <w:spacing w:line="560" w:lineRule="exact"/>
        <w:ind w:left="197" w:leftChars="94" w:firstLine="640" w:firstLineChars="200"/>
        <w:jc w:val="left"/>
        <w:textAlignment w:val="auto"/>
        <w:rPr>
          <w:rFonts w:hint="eastAsia" w:ascii="仿宋" w:hAnsi="仿宋" w:eastAsia="仿宋" w:cs="Times New Roman"/>
          <w:color w:val="auto"/>
          <w:sz w:val="32"/>
          <w:szCs w:val="32"/>
          <w:lang w:val="en-US" w:eastAsia="zh-CN"/>
        </w:rPr>
      </w:pPr>
      <w:r>
        <w:rPr>
          <w:rFonts w:ascii="仿宋" w:hAnsi="仿宋" w:eastAsia="仿宋" w:cs="Times New Roman"/>
          <w:color w:val="auto"/>
          <w:sz w:val="32"/>
          <w:szCs w:val="32"/>
        </w:rPr>
        <w:t>20</w:t>
      </w:r>
      <w:r>
        <w:rPr>
          <w:rFonts w:hint="eastAsia" w:ascii="仿宋" w:hAnsi="仿宋" w:eastAsia="仿宋" w:cs="Times New Roman"/>
          <w:color w:val="auto"/>
          <w:sz w:val="32"/>
          <w:szCs w:val="32"/>
        </w:rPr>
        <w:t>21</w:t>
      </w:r>
      <w:r>
        <w:rPr>
          <w:rFonts w:ascii="仿宋" w:hAnsi="仿宋" w:eastAsia="仿宋" w:cs="Times New Roman"/>
          <w:color w:val="auto"/>
          <w:sz w:val="32"/>
          <w:szCs w:val="32"/>
        </w:rPr>
        <w:t>年，我局财政拨款“三公”经费预算安排</w:t>
      </w:r>
      <w:r>
        <w:rPr>
          <w:rFonts w:hint="eastAsia" w:ascii="仿宋" w:hAnsi="仿宋" w:eastAsia="仿宋" w:cs="Times New Roman"/>
          <w:color w:val="auto"/>
          <w:sz w:val="32"/>
          <w:szCs w:val="32"/>
          <w:lang w:val="en-US" w:eastAsia="zh-CN"/>
        </w:rPr>
        <w:t>7.1</w:t>
      </w:r>
      <w:r>
        <w:rPr>
          <w:rFonts w:ascii="仿宋" w:hAnsi="仿宋" w:eastAsia="仿宋" w:cs="Times New Roman"/>
          <w:color w:val="auto"/>
          <w:sz w:val="32"/>
          <w:szCs w:val="32"/>
        </w:rPr>
        <w:t>万元</w:t>
      </w:r>
      <w:r>
        <w:rPr>
          <w:rFonts w:hint="eastAsia" w:ascii="仿宋" w:hAnsi="仿宋" w:eastAsia="仿宋" w:cs="Times New Roman"/>
          <w:color w:val="auto"/>
          <w:sz w:val="32"/>
          <w:szCs w:val="32"/>
        </w:rPr>
        <w:t>。</w:t>
      </w:r>
      <w:r>
        <w:rPr>
          <w:rFonts w:ascii="仿宋" w:hAnsi="仿宋" w:eastAsia="仿宋" w:cs="Times New Roman"/>
          <w:color w:val="auto"/>
          <w:sz w:val="32"/>
          <w:szCs w:val="32"/>
        </w:rPr>
        <w:t>其中</w:t>
      </w:r>
      <w:r>
        <w:rPr>
          <w:rFonts w:hint="eastAsia" w:ascii="仿宋" w:hAnsi="仿宋" w:eastAsia="仿宋" w:cs="Times New Roman"/>
          <w:color w:val="auto"/>
          <w:sz w:val="32"/>
          <w:szCs w:val="32"/>
        </w:rPr>
        <w:t>，</w:t>
      </w:r>
      <w:r>
        <w:rPr>
          <w:rFonts w:ascii="仿宋" w:hAnsi="仿宋" w:eastAsia="仿宋" w:cs="Times New Roman"/>
          <w:color w:val="auto"/>
          <w:sz w:val="32"/>
          <w:szCs w:val="32"/>
        </w:rPr>
        <w:t>因公出国（境）费</w:t>
      </w:r>
      <w:r>
        <w:rPr>
          <w:rFonts w:hint="eastAsia" w:ascii="仿宋" w:hAnsi="仿宋" w:eastAsia="仿宋" w:cs="Times New Roman"/>
          <w:color w:val="auto"/>
          <w:sz w:val="32"/>
          <w:szCs w:val="32"/>
          <w:lang w:val="en-US" w:eastAsia="zh-CN"/>
        </w:rPr>
        <w:t>1.6</w:t>
      </w:r>
      <w:r>
        <w:rPr>
          <w:rFonts w:ascii="仿宋" w:hAnsi="仿宋" w:eastAsia="仿宋" w:cs="Times New Roman"/>
          <w:color w:val="auto"/>
          <w:sz w:val="32"/>
          <w:szCs w:val="32"/>
        </w:rPr>
        <w:t>万元；公务用车购置及运</w:t>
      </w:r>
      <w:r>
        <w:rPr>
          <w:rFonts w:hint="eastAsia" w:ascii="仿宋" w:hAnsi="仿宋" w:eastAsia="仿宋" w:cs="Times New Roman"/>
          <w:color w:val="auto"/>
          <w:sz w:val="32"/>
          <w:szCs w:val="32"/>
          <w:lang w:val="en-US" w:eastAsia="zh-CN"/>
        </w:rPr>
        <w:t>行</w:t>
      </w:r>
      <w:r>
        <w:rPr>
          <w:rFonts w:ascii="仿宋" w:hAnsi="仿宋" w:eastAsia="仿宋" w:cs="Times New Roman"/>
          <w:color w:val="auto"/>
          <w:sz w:val="32"/>
          <w:szCs w:val="32"/>
        </w:rPr>
        <w:t>费</w:t>
      </w:r>
      <w:r>
        <w:rPr>
          <w:rFonts w:hint="eastAsia" w:ascii="仿宋" w:hAnsi="仿宋" w:eastAsia="仿宋" w:cs="Times New Roman"/>
          <w:color w:val="auto"/>
          <w:sz w:val="32"/>
          <w:szCs w:val="32"/>
          <w:lang w:val="en-US" w:eastAsia="zh-CN"/>
        </w:rPr>
        <w:t>0</w:t>
      </w:r>
      <w:r>
        <w:rPr>
          <w:rFonts w:ascii="仿宋" w:hAnsi="仿宋" w:eastAsia="仿宋" w:cs="Times New Roman"/>
          <w:color w:val="auto"/>
          <w:sz w:val="32"/>
          <w:szCs w:val="32"/>
        </w:rPr>
        <w:t>万元（其中：公务用车购置费为</w:t>
      </w:r>
      <w:r>
        <w:rPr>
          <w:rFonts w:hint="eastAsia" w:ascii="仿宋" w:hAnsi="仿宋" w:eastAsia="仿宋" w:cs="Times New Roman"/>
          <w:color w:val="auto"/>
          <w:sz w:val="32"/>
          <w:szCs w:val="32"/>
          <w:lang w:val="en-US" w:eastAsia="zh-CN"/>
        </w:rPr>
        <w:t>0</w:t>
      </w:r>
      <w:r>
        <w:rPr>
          <w:rFonts w:ascii="仿宋" w:hAnsi="仿宋" w:eastAsia="仿宋" w:cs="Times New Roman"/>
          <w:color w:val="auto"/>
          <w:sz w:val="32"/>
          <w:szCs w:val="32"/>
        </w:rPr>
        <w:t>万元，公务用车运</w:t>
      </w:r>
      <w:r>
        <w:rPr>
          <w:rFonts w:hint="eastAsia" w:ascii="仿宋" w:hAnsi="仿宋" w:eastAsia="仿宋" w:cs="Times New Roman"/>
          <w:color w:val="auto"/>
          <w:sz w:val="32"/>
          <w:szCs w:val="32"/>
          <w:lang w:val="en-US" w:eastAsia="zh-CN"/>
        </w:rPr>
        <w:t>行</w:t>
      </w:r>
      <w:r>
        <w:rPr>
          <w:rFonts w:ascii="仿宋" w:hAnsi="仿宋" w:eastAsia="仿宋" w:cs="Times New Roman"/>
          <w:color w:val="auto"/>
          <w:sz w:val="32"/>
          <w:szCs w:val="32"/>
        </w:rPr>
        <w:t>费</w:t>
      </w:r>
      <w:r>
        <w:rPr>
          <w:rFonts w:hint="eastAsia" w:ascii="仿宋" w:hAnsi="仿宋" w:eastAsia="仿宋" w:cs="Times New Roman"/>
          <w:color w:val="auto"/>
          <w:sz w:val="32"/>
          <w:szCs w:val="32"/>
          <w:lang w:val="en-US" w:eastAsia="zh-CN"/>
        </w:rPr>
        <w:t>5</w:t>
      </w:r>
      <w:r>
        <w:rPr>
          <w:rFonts w:ascii="仿宋" w:hAnsi="仿宋" w:eastAsia="仿宋" w:cs="Times New Roman"/>
          <w:color w:val="auto"/>
          <w:sz w:val="32"/>
          <w:szCs w:val="32"/>
        </w:rPr>
        <w:t>万元)；公务接待费</w:t>
      </w:r>
      <w:r>
        <w:rPr>
          <w:rFonts w:hint="eastAsia" w:ascii="仿宋" w:hAnsi="仿宋" w:eastAsia="仿宋" w:cs="Times New Roman"/>
          <w:color w:val="auto"/>
          <w:sz w:val="32"/>
          <w:szCs w:val="32"/>
          <w:lang w:val="en-US" w:eastAsia="zh-CN"/>
        </w:rPr>
        <w:t>0.5</w:t>
      </w:r>
      <w:r>
        <w:rPr>
          <w:rFonts w:ascii="仿宋" w:hAnsi="仿宋" w:eastAsia="仿宋" w:cs="Times New Roman"/>
          <w:color w:val="auto"/>
          <w:sz w:val="32"/>
          <w:szCs w:val="32"/>
        </w:rPr>
        <w:t>万元。与20</w:t>
      </w:r>
      <w:r>
        <w:rPr>
          <w:rFonts w:hint="eastAsia" w:ascii="仿宋" w:hAnsi="仿宋" w:eastAsia="仿宋" w:cs="Times New Roman"/>
          <w:color w:val="auto"/>
          <w:sz w:val="32"/>
          <w:szCs w:val="32"/>
        </w:rPr>
        <w:t>20</w:t>
      </w:r>
      <w:r>
        <w:rPr>
          <w:rFonts w:ascii="仿宋" w:hAnsi="仿宋" w:eastAsia="仿宋" w:cs="Times New Roman"/>
          <w:color w:val="auto"/>
          <w:sz w:val="32"/>
          <w:szCs w:val="32"/>
        </w:rPr>
        <w:t>年</w:t>
      </w:r>
      <w:r>
        <w:rPr>
          <w:rFonts w:hint="eastAsia" w:ascii="仿宋" w:hAnsi="仿宋" w:eastAsia="仿宋" w:cs="Times New Roman"/>
          <w:color w:val="auto"/>
          <w:sz w:val="32"/>
          <w:szCs w:val="32"/>
        </w:rPr>
        <w:t>相比</w:t>
      </w:r>
      <w:r>
        <w:rPr>
          <w:rFonts w:hint="eastAsia" w:ascii="仿宋" w:hAnsi="仿宋" w:eastAsia="仿宋" w:cs="Times New Roman"/>
          <w:color w:val="auto"/>
          <w:sz w:val="32"/>
          <w:szCs w:val="32"/>
          <w:lang w:val="en-US" w:eastAsia="zh-CN"/>
        </w:rPr>
        <w:t>增加0.14</w:t>
      </w:r>
      <w:r>
        <w:rPr>
          <w:rFonts w:ascii="仿宋" w:hAnsi="仿宋" w:eastAsia="仿宋" w:cs="Times New Roman"/>
          <w:color w:val="auto"/>
          <w:sz w:val="32"/>
          <w:szCs w:val="32"/>
        </w:rPr>
        <w:t>万元，</w:t>
      </w:r>
      <w:r>
        <w:rPr>
          <w:rFonts w:hint="eastAsia" w:ascii="仿宋" w:hAnsi="仿宋" w:eastAsia="仿宋" w:cs="Times New Roman"/>
          <w:color w:val="auto"/>
          <w:sz w:val="32"/>
          <w:szCs w:val="32"/>
        </w:rPr>
        <w:t>其中，</w:t>
      </w:r>
      <w:r>
        <w:rPr>
          <w:rFonts w:ascii="仿宋" w:hAnsi="仿宋" w:eastAsia="仿宋" w:cs="Times New Roman"/>
          <w:color w:val="auto"/>
          <w:sz w:val="32"/>
          <w:szCs w:val="32"/>
        </w:rPr>
        <w:t>公务用车购置及运</w:t>
      </w:r>
      <w:r>
        <w:rPr>
          <w:rFonts w:hint="eastAsia" w:ascii="仿宋" w:hAnsi="仿宋" w:eastAsia="仿宋" w:cs="Times New Roman"/>
          <w:color w:val="auto"/>
          <w:sz w:val="32"/>
          <w:szCs w:val="32"/>
          <w:lang w:val="en-US" w:eastAsia="zh-CN"/>
        </w:rPr>
        <w:t>行</w:t>
      </w:r>
      <w:r>
        <w:rPr>
          <w:rFonts w:ascii="仿宋" w:hAnsi="仿宋" w:eastAsia="仿宋" w:cs="Times New Roman"/>
          <w:color w:val="auto"/>
          <w:sz w:val="32"/>
          <w:szCs w:val="32"/>
        </w:rPr>
        <w:t>费</w:t>
      </w:r>
      <w:r>
        <w:rPr>
          <w:rFonts w:hint="eastAsia" w:ascii="仿宋" w:hAnsi="仿宋" w:eastAsia="仿宋" w:cs="Times New Roman"/>
          <w:color w:val="auto"/>
          <w:sz w:val="32"/>
          <w:szCs w:val="32"/>
          <w:lang w:val="en-US" w:eastAsia="zh-CN"/>
        </w:rPr>
        <w:t>与去年持平。</w:t>
      </w:r>
      <w:r>
        <w:rPr>
          <w:rFonts w:ascii="仿宋" w:hAnsi="仿宋" w:eastAsia="仿宋" w:cs="Times New Roman"/>
          <w:color w:val="auto"/>
          <w:sz w:val="32"/>
          <w:szCs w:val="32"/>
        </w:rPr>
        <w:t>公务接待费</w:t>
      </w:r>
      <w:r>
        <w:rPr>
          <w:rFonts w:hint="eastAsia" w:ascii="仿宋" w:hAnsi="仿宋" w:eastAsia="仿宋" w:cs="Times New Roman"/>
          <w:color w:val="auto"/>
          <w:sz w:val="32"/>
          <w:szCs w:val="32"/>
          <w:lang w:val="en-US" w:eastAsia="zh-CN"/>
        </w:rPr>
        <w:t>0.5</w:t>
      </w:r>
      <w:r>
        <w:rPr>
          <w:rFonts w:ascii="仿宋" w:hAnsi="仿宋" w:eastAsia="仿宋" w:cs="Times New Roman"/>
          <w:color w:val="auto"/>
          <w:sz w:val="32"/>
          <w:szCs w:val="32"/>
        </w:rPr>
        <w:t>万元</w:t>
      </w:r>
      <w:r>
        <w:rPr>
          <w:rFonts w:hint="eastAsia" w:ascii="仿宋" w:hAnsi="仿宋" w:eastAsia="仿宋" w:cs="Times New Roman"/>
          <w:color w:val="auto"/>
          <w:sz w:val="32"/>
          <w:szCs w:val="32"/>
          <w:lang w:eastAsia="zh-CN"/>
        </w:rPr>
        <w:t>，</w:t>
      </w:r>
      <w:r>
        <w:rPr>
          <w:rFonts w:hint="eastAsia" w:ascii="仿宋" w:hAnsi="仿宋" w:eastAsia="仿宋" w:cs="Times New Roman"/>
          <w:color w:val="auto"/>
          <w:sz w:val="32"/>
          <w:szCs w:val="32"/>
          <w:lang w:val="en-US" w:eastAsia="zh-CN"/>
        </w:rPr>
        <w:t>增加0.14万元</w:t>
      </w:r>
      <w:r>
        <w:rPr>
          <w:rFonts w:hint="eastAsia" w:ascii="仿宋" w:hAnsi="仿宋" w:eastAsia="仿宋" w:cs="Times New Roman"/>
          <w:color w:val="auto"/>
          <w:sz w:val="32"/>
          <w:szCs w:val="32"/>
        </w:rPr>
        <w:t>，</w:t>
      </w:r>
      <w:r>
        <w:rPr>
          <w:rFonts w:ascii="仿宋" w:hAnsi="仿宋" w:eastAsia="仿宋" w:cs="Times New Roman"/>
          <w:color w:val="auto"/>
          <w:sz w:val="32"/>
          <w:szCs w:val="32"/>
        </w:rPr>
        <w:t>主要原因是</w:t>
      </w:r>
      <w:r>
        <w:rPr>
          <w:rFonts w:hint="eastAsia" w:ascii="仿宋" w:hAnsi="仿宋" w:eastAsia="仿宋" w:cs="Times New Roman"/>
          <w:color w:val="auto"/>
          <w:sz w:val="32"/>
          <w:szCs w:val="32"/>
          <w:lang w:val="en-US" w:eastAsia="zh-CN"/>
        </w:rPr>
        <w:t>提标。</w:t>
      </w:r>
    </w:p>
    <w:p>
      <w:pPr>
        <w:keepNext w:val="0"/>
        <w:keepLines w:val="0"/>
        <w:pageBreakBefore w:val="0"/>
        <w:widowControl w:val="0"/>
        <w:kinsoku/>
        <w:wordWrap/>
        <w:overflowPunct/>
        <w:topLinePunct w:val="0"/>
        <w:bidi w:val="0"/>
        <w:snapToGrid/>
        <w:spacing w:line="560" w:lineRule="exact"/>
        <w:ind w:firstLine="960" w:firstLineChars="3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bookmarkStart w:id="2" w:name="_GoBack"/>
      <w:bookmarkEnd w:id="2"/>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（一）总体绩效目标</w:t>
      </w:r>
    </w:p>
    <w:p>
      <w:pPr>
        <w:keepNext w:val="0"/>
        <w:keepLines w:val="0"/>
        <w:pageBreakBefore w:val="0"/>
        <w:widowControl w:val="0"/>
        <w:kinsoku/>
        <w:wordWrap/>
        <w:overflowPunct/>
        <w:topLinePunct w:val="0"/>
        <w:bidi w:val="0"/>
        <w:snapToGrid/>
        <w:spacing w:line="560" w:lineRule="exact"/>
        <w:ind w:firstLine="560" w:firstLineChars="200"/>
        <w:jc w:val="left"/>
        <w:textAlignment w:val="auto"/>
        <w:rPr>
          <w:rFonts w:hint="eastAsia" w:ascii="仿宋" w:hAnsi="仿宋" w:eastAsia="仿宋" w:cs="仿宋"/>
          <w:sz w:val="32"/>
          <w:szCs w:val="32"/>
        </w:rPr>
      </w:pPr>
      <w:r>
        <w:rPr>
          <w:rFonts w:ascii="Times New Roman" w:eastAsia="方正仿宋_GBK"/>
          <w:sz w:val="28"/>
        </w:rPr>
        <w:t xml:space="preserve">  </w:t>
      </w:r>
      <w:r>
        <w:rPr>
          <w:rFonts w:hint="eastAsia" w:ascii="仿宋" w:hAnsi="仿宋" w:eastAsia="仿宋" w:cs="仿宋"/>
          <w:sz w:val="32"/>
          <w:szCs w:val="32"/>
        </w:rPr>
        <w:t>根据县财政局统一部署，结合我局实际，确定2021年审计局总体发展规划目标是：在县委、县政府和上级审计机关的正确领导下，围绕中心、服务大局，加强审计人员自身建设，内强素质，外树清正廉洁，人民公仆的良好形象。</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重点完成预算执行审计，财政决算审计（主要是乡镇财政决算审计），行政事业财务收支审计，社保审计，政府投资建设项目审计，经济责任审计，向社会力量购买服务。</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通过预算执行审计，规范资金分配管理，盘活财政资金存量，优化财政资金增量，调整财政支出结构，促进资金优化配置和提高财政资金使用绩效为目标，在掌握我县预算执行和税收征管总体情况的基础上，重点关注财政存量资金规模和结构，关注财政支出结构和投向。检查“三公经费”和会议费管理使用情况，大额采购情况，党政机关楼堂馆所建设情况。检查重点财政专项资金管理分配使用情况。</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通过乡镇财政决算审计，检查财政收支决算的真实性和合法性基础，重点关注财政存量资金规模和结构，关注财政支出结构和投向，关注存量债务的化解和新增债务的举借情况，以及债务资金的投向和管理使用等情况。检查“三公经费”和会议费管理使用情况以及重点专项资金管理使用情况。</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通过行政事业财务收支审计，有助于查清财政预算资金、资产管理、政府采购预算管理的合规合法性，促进规范管理，提高资金使用效益。</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通过社保审计，主要掌握医疗保险基金、救助基金在筹集、管理和使用中存在的主要问题，及资金运行过程中面临的困难和矛盾，分析问题产生的原因；掌握保障性安居工程建设总体情况，客观评价保障性安居工程成效，揭示保障性住房建设和分配管理中存在的突出问题，提出完善住房保障制度和加强管理的建议。</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通过政府投资建设项目审计，查清项目基本建设程序是否合法,建设资金的筹集、管理和使用是否合规,工程造价的计量与结算是否真实，工程质量管理是否有效，是否存在工程质量问题和严重损失浪费现象。通过对项目建设资金和工程造价真实性、合法性和效益性的审计监督，确保建设资金合理、合法和有效使用。</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受县委组织部委托，通过经济责任审计，一方面可以获取客观准确的经济信息，掌握经济运行的真实情况，实施科学的调控措施；另一方面，可以客观评价领导干部的经济责任，有利于领导干部全面树立和落实科学发展观和正确政绩观，规范领导干部的经济行为，实现科学决策、民主决策、依法决策，最大限度的减少领导干部在经济工作中的失误。</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通过向社会力量购买服务，推动服务型政府建设，实现审计监督全覆盖，充分整合审计资源。</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（二）分项绩效目标</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2021年，我局主要职责是完成审计业务和审计政务管理。重点完成预算执行审计，财政决算审计（主要是乡镇财政决算审计），行政事业财务收支审计，社保审计，政府投资建设项目审计，经济责任审计，向社会力量购买服务。</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(一)审计业务绩效目标情况</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绩效目标：1、审计业务：通过审计财政、财务收支真实、合法和效益，维护国家财政经济秩序、促进廉政建设、保障国民经济的健康。2、专项审计调查：通过专项审计调查，综合分析，向有关部门反映情况，揭露问题、提出解决问题的建议，为政府决策提供依据，为国家宏观调控服务。</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（二）审计政务管理绩效目标情况</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 绩效目标：组织开展信息化建设、教育培训、审计理论研究，抓好新闻宣传和文化建设、政务信息公开，开展审计服务和业务咨询。信息保障安全有效，信息化建设稳步推进；加强宣传引导；提高人员业务水平；促进审计文化研究，推动审计事业发展。</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（三）工作保障措施</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（一）高度重视，周密组织实施。各股室、相关责任人要密切配合，及时提供相关资料，要切实增强责任意识和使命感，确保各项工作落实到位。</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（二）坚持揭示问题和督促整改相结合。对审计发现的问题，要及时向被审计部门通报情况，提出具体可行的整改意见，督促各部门及时整改落实，发挥好跟踪审计的作用，保障各项政策措施落到实处。</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（三）运用多种方式开展审计。在审计过程中，既要审查相关资料、数据等，也要深入地方、部门、企业和项目，采取召开座谈会等方式深入了解情况，分析原因，研究提出解决问题的对策。</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严格纪律，加强督导。审计人员要遵守各项廉政纪律、审计纪律、保密纪律，坚持文明审计，客观公正、实事求是地反映情况。局班子将不定期抽查各业务股室审计工作质量，对不如实报告、上报不及时或工作不认真的进行通报，对工作认真，扎实有效的进行表扬。</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审计报告数量</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完成项目全部出具审计报告得满分，每减少5%，扣该指标分值的10%，完成率低于60%得0分。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全年出具审计报告数量</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个</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历年审计报告数量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项目完成数量</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每未按政策要求完成一个项目，扣减权重分值的25%，未完成项目数量大于2个得0分。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项目完成数量</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10.00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个</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年度项目计划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2020.1-2020.12</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费用支付时间及时得满分，时间每延迟5%，扣该指标分值的10%，延迟超过40%得0分。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2020.1-2020.12</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12.00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个月</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双方签订的合同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节约政府投资</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效果显著得满分，效果一般得指标分值的50%，效果差得0分。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节约政府投资</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效果显著</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双方签订的合同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规范政府投资项目管理</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效果显著得满分，效果一般得指标分值的50%，效果差得0分。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规范政府投资项目管理</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效果显著</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rPr>
                <w:rFonts w:ascii="方正书宋_GBK" w:eastAsia="方正书宋_GBK"/>
              </w:rPr>
            </w:pPr>
          </w:p>
        </w:tc>
        <w:tc>
          <w:tcPr>
            <w:tcW w:w="2172" w:type="dxa"/>
            <w:tcBorders>
              <w:tl2br w:val="nil"/>
              <w:tr2bl w:val="nil"/>
            </w:tcBorders>
            <w:vAlign w:val="top"/>
          </w:tcPr>
          <w:p>
            <w:pPr>
              <w:jc w:val="left"/>
              <w:rPr>
                <w:rFonts w:ascii="方正书宋_GBK" w:eastAsia="方正书宋_GBK"/>
              </w:rPr>
            </w:pPr>
          </w:p>
        </w:tc>
        <w:tc>
          <w:tcPr>
            <w:tcW w:w="1483" w:type="dxa"/>
            <w:tcBorders>
              <w:tl2br w:val="nil"/>
              <w:tr2bl w:val="nil"/>
            </w:tcBorders>
            <w:vAlign w:val="center"/>
          </w:tcPr>
          <w:p>
            <w:pPr>
              <w:jc w:val="left"/>
              <w:rPr>
                <w:rFonts w:ascii="方正书宋_GBK" w:eastAsia="方正书宋_GBK"/>
              </w:rPr>
            </w:pPr>
          </w:p>
        </w:tc>
        <w:tc>
          <w:tcPr>
            <w:tcW w:w="543" w:type="dxa"/>
            <w:tcBorders>
              <w:tl2br w:val="nil"/>
              <w:tr2bl w:val="nil"/>
            </w:tcBorders>
            <w:vAlign w:val="center"/>
          </w:tcPr>
          <w:p>
            <w:pPr>
              <w:jc w:val="left"/>
              <w:rPr>
                <w:rFonts w:ascii="方正书宋_GBK" w:eastAsia="方正书宋_GBK"/>
              </w:rPr>
            </w:pP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jc w:val="left"/>
              <w:rPr>
                <w:rFonts w:ascii="方正书宋_GBK" w:eastAsia="方正书宋_GBK"/>
              </w:rPr>
            </w:pPr>
          </w:p>
        </w:tc>
        <w:tc>
          <w:tcPr>
            <w:tcW w:w="1277" w:type="dxa"/>
            <w:tcBorders>
              <w:tl2br w:val="nil"/>
              <w:tr2bl w:val="nil"/>
            </w:tcBorders>
            <w:vAlign w:val="center"/>
          </w:tcPr>
          <w:p>
            <w:pPr>
              <w:jc w:val="left"/>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服务对象满意度</w:t>
            </w:r>
          </w:p>
        </w:tc>
        <w:tc>
          <w:tcPr>
            <w:tcW w:w="2172" w:type="dxa"/>
            <w:tcBorders>
              <w:tl2br w:val="nil"/>
              <w:tr2bl w:val="nil"/>
            </w:tcBorders>
            <w:vAlign w:val="top"/>
          </w:tcPr>
          <w:p>
            <w:pPr>
              <w:keepNext w:val="0"/>
              <w:keepLines w:val="0"/>
              <w:widowControl/>
              <w:suppressLineNumbers w:val="0"/>
              <w:jc w:val="left"/>
              <w:textAlignment w:val="top"/>
              <w:rPr>
                <w:rFonts w:ascii="方正书宋_GBK" w:eastAsia="方正书宋_GBK"/>
              </w:rPr>
            </w:pPr>
            <w:r>
              <w:rPr>
                <w:rFonts w:hint="eastAsia" w:ascii="宋体" w:hAnsi="宋体" w:eastAsia="宋体" w:cs="宋体"/>
                <w:i w:val="0"/>
                <w:color w:val="000000"/>
                <w:kern w:val="0"/>
                <w:sz w:val="18"/>
                <w:szCs w:val="18"/>
                <w:u w:val="none"/>
                <w:lang w:val="en-US" w:eastAsia="zh-CN" w:bidi="ar"/>
              </w:rPr>
              <w:t>每减少指标值的1%，扣该指标分值的10%，完成率低于60%得0分。</w:t>
            </w:r>
          </w:p>
        </w:tc>
        <w:tc>
          <w:tcPr>
            <w:tcW w:w="148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被审计单位满意度</w:t>
            </w:r>
          </w:p>
        </w:tc>
        <w:tc>
          <w:tcPr>
            <w:tcW w:w="54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488" w:type="dxa"/>
            <w:tcBorders>
              <w:tl2br w:val="nil"/>
              <w:tr2bl w:val="nil"/>
            </w:tcBorders>
            <w:vAlign w:val="center"/>
          </w:tcPr>
          <w:p>
            <w:pPr>
              <w:keepNext w:val="0"/>
              <w:keepLines w:val="0"/>
              <w:widowControl/>
              <w:suppressLineNumbers w:val="0"/>
              <w:jc w:val="righ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95.00</w:t>
            </w:r>
          </w:p>
        </w:tc>
        <w:tc>
          <w:tcPr>
            <w:tcW w:w="573"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w:t>
            </w:r>
          </w:p>
        </w:tc>
        <w:tc>
          <w:tcPr>
            <w:tcW w:w="1277" w:type="dxa"/>
            <w:tcBorders>
              <w:tl2br w:val="nil"/>
              <w:tr2bl w:val="nil"/>
            </w:tcBorders>
            <w:vAlign w:val="center"/>
          </w:tcPr>
          <w:p>
            <w:pPr>
              <w:keepNext w:val="0"/>
              <w:keepLines w:val="0"/>
              <w:widowControl/>
              <w:suppressLineNumbers w:val="0"/>
              <w:jc w:val="left"/>
              <w:textAlignment w:val="center"/>
              <w:rPr>
                <w:rFonts w:ascii="方正书宋_GBK" w:eastAsia="方正书宋_GBK"/>
              </w:rPr>
            </w:pPr>
            <w:r>
              <w:rPr>
                <w:rFonts w:hint="eastAsia" w:ascii="宋体" w:hAnsi="宋体" w:eastAsia="宋体" w:cs="宋体"/>
                <w:i w:val="0"/>
                <w:color w:val="000000"/>
                <w:kern w:val="0"/>
                <w:sz w:val="18"/>
                <w:szCs w:val="18"/>
                <w:u w:val="none"/>
                <w:lang w:val="en-US" w:eastAsia="zh-CN" w:bidi="ar"/>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rPr>
                <w:rFonts w:ascii="方正书宋_GBK" w:eastAsia="方正书宋_GBK"/>
              </w:rPr>
            </w:pPr>
          </w:p>
        </w:tc>
        <w:tc>
          <w:tcPr>
            <w:tcW w:w="2172" w:type="dxa"/>
            <w:tcBorders>
              <w:tl2br w:val="nil"/>
              <w:tr2bl w:val="nil"/>
            </w:tcBorders>
            <w:noWrap/>
            <w:vAlign w:val="top"/>
          </w:tcPr>
          <w:p>
            <w:pPr>
              <w:jc w:val="left"/>
              <w:rPr>
                <w:rFonts w:ascii="方正书宋_GBK" w:eastAsia="方正书宋_GBK"/>
              </w:rPr>
            </w:pPr>
          </w:p>
        </w:tc>
        <w:tc>
          <w:tcPr>
            <w:tcW w:w="1483" w:type="dxa"/>
            <w:tcBorders>
              <w:tl2br w:val="nil"/>
              <w:tr2bl w:val="nil"/>
            </w:tcBorders>
            <w:noWrap/>
            <w:vAlign w:val="center"/>
          </w:tcPr>
          <w:p>
            <w:pPr>
              <w:jc w:val="left"/>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rPr>
                <w:rFonts w:ascii="方正书宋_GBK" w:eastAsia="方正书宋_GBK"/>
              </w:rPr>
            </w:pPr>
          </w:p>
        </w:tc>
        <w:tc>
          <w:tcPr>
            <w:tcW w:w="2172" w:type="dxa"/>
            <w:tcBorders>
              <w:tl2br w:val="nil"/>
              <w:tr2bl w:val="nil"/>
            </w:tcBorders>
            <w:noWrap/>
            <w:vAlign w:val="top"/>
          </w:tcPr>
          <w:p>
            <w:pPr>
              <w:jc w:val="left"/>
              <w:rPr>
                <w:rFonts w:ascii="方正书宋_GBK" w:eastAsia="方正书宋_GBK"/>
              </w:rPr>
            </w:pPr>
          </w:p>
        </w:tc>
        <w:tc>
          <w:tcPr>
            <w:tcW w:w="1483" w:type="dxa"/>
            <w:tcBorders>
              <w:tl2br w:val="nil"/>
              <w:tr2bl w:val="nil"/>
            </w:tcBorders>
            <w:noWrap/>
            <w:vAlign w:val="center"/>
          </w:tcPr>
          <w:p>
            <w:pPr>
              <w:jc w:val="left"/>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2" w:firstLineChars="200"/>
        <w:jc w:val="left"/>
        <w:rPr>
          <w:rFonts w:hint="eastAsia" w:ascii="Times New Roman" w:hAnsi="宋体"/>
          <w:b/>
          <w:sz w:val="28"/>
        </w:rPr>
      </w:pPr>
      <w:r>
        <w:rPr>
          <w:rFonts w:hint="eastAsia" w:ascii="方正仿宋_GBK" w:eastAsia="方正仿宋_GBK"/>
          <w:b/>
          <w:sz w:val="28"/>
        </w:rPr>
        <w:t>1、一级预算单位数据采集分析绩效目标表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充分运用信息化手段采集数据信息</w:t>
            </w:r>
            <w:r>
              <w:rPr>
                <w:rFonts w:ascii="方正书宋_GBK" w:eastAsia="方正书宋_GBK"/>
              </w:rPr>
              <w:t>53</w:t>
            </w:r>
            <w:r>
              <w:rPr>
                <w:rFonts w:hint="eastAsia" w:ascii="方正书宋_GBK" w:eastAsia="方正书宋_GBK"/>
              </w:rPr>
              <w:t>个，完成预算单位的审计全覆盖。</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预算单位审计数据提取工作效率显著提升。</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审计覆盖率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预算单位审计业务覆盖率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完成数据数量</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应完成数据采集数量</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53</w:t>
            </w:r>
            <w:r>
              <w:rPr>
                <w:rFonts w:hint="eastAsia" w:ascii="方正书宋_GBK" w:eastAsia="方正书宋_GBK"/>
              </w:rPr>
              <w:t>个</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采集数据合格率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采集数据完成合格数量占总数量的比率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支付费用时间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支付费用的截止时间</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月份</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采集数据信息单位成本</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每个采集数据信息单位成本</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944</w:t>
            </w:r>
            <w:r>
              <w:rPr>
                <w:rFonts w:hint="eastAsia" w:ascii="方正书宋_GBK" w:eastAsia="方正书宋_GBK"/>
              </w:rPr>
              <w:t>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双方签订的合同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改善单位数据提取工作效率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改善预算单位审计数据提取工作效率</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显著</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被采集数据人员满意度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被采集数据人员满意度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2、办公楼防水及维修、维护费绩效目标表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通过对办公楼</w:t>
            </w:r>
            <w:r>
              <w:rPr>
                <w:rFonts w:ascii="方正书宋_GBK" w:eastAsia="方正书宋_GBK"/>
              </w:rPr>
              <w:t>2105</w:t>
            </w:r>
            <w:r>
              <w:rPr>
                <w:rFonts w:hint="eastAsia" w:ascii="方正书宋_GBK" w:eastAsia="方正书宋_GBK"/>
              </w:rPr>
              <w:t>平米进行修缮，对老化部分进行维修维护，对墙体开裂部分进行粉刷，保障工作人员人身安全。</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修缮工程量</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修缮的平米数</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2105</w:t>
            </w:r>
            <w:r>
              <w:rPr>
                <w:rFonts w:hint="eastAsia" w:ascii="方正书宋_GBK" w:eastAsia="方正书宋_GBK"/>
              </w:rPr>
              <w:t>平米</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通过验收的工程量占修缮总量的比率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工程按期完成率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按期完成的工程量占总工程量的比率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工程单位建设成本</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支付维修、维护费用的总成本</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8.2</w:t>
            </w:r>
            <w:r>
              <w:rPr>
                <w:rFonts w:hint="eastAsia" w:ascii="方正书宋_GBK" w:eastAsia="方正书宋_GBK"/>
              </w:rPr>
              <w:t>万元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安全性</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对房屋及其构筑物的安全性和合格率进行维护、保养和检测，保障工作人员人身安全</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使用人员满意人数</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方正仿宋_GBK" w:eastAsia="方正仿宋_GBK"/>
          <w:b/>
          <w:sz w:val="28"/>
        </w:rPr>
      </w:pPr>
    </w:p>
    <w:p>
      <w:pPr>
        <w:ind w:firstLine="562" w:firstLineChars="200"/>
        <w:jc w:val="left"/>
        <w:rPr>
          <w:rFonts w:hint="eastAsia" w:ascii="Times New Roman" w:hAnsi="宋体"/>
          <w:b/>
          <w:sz w:val="28"/>
        </w:rPr>
      </w:pPr>
      <w:r>
        <w:rPr>
          <w:rFonts w:hint="eastAsia" w:ascii="方正仿宋_GBK" w:eastAsia="方正仿宋_GBK"/>
          <w:b/>
          <w:sz w:val="28"/>
        </w:rPr>
        <w:t>3、专项审计业务经费绩效目标表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1.2021</w:t>
            </w:r>
            <w:r>
              <w:rPr>
                <w:rFonts w:hint="eastAsia" w:ascii="方正书宋_GBK" w:eastAsia="方正书宋_GBK"/>
              </w:rPr>
              <w:t>年，按照省市统一安排部署，拟进行四个方面的审计项目：党政领导干部及自然资源审计；中央直达资金专项审计；政府投资审计；政府债务专项审计。</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项目预计支出审计费用</w:t>
            </w:r>
            <w:r>
              <w:rPr>
                <w:rFonts w:ascii="方正书宋_GBK" w:eastAsia="方正书宋_GBK"/>
              </w:rPr>
              <w:t>10</w:t>
            </w:r>
            <w:r>
              <w:rPr>
                <w:rFonts w:hint="eastAsia" w:ascii="方正书宋_GBK" w:eastAsia="方正书宋_GBK"/>
              </w:rPr>
              <w:t>万元，项目实施能促进领导干部廉洁自律，净化建筑市场，节约政府资金，促进审计报告使用人员满意。</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审计项目数量</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完成的审计项目数量</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个</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省市安排部署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项目完成合格率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合格项目数量占项目完成数量的比例</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费用支付时间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支付审计费用的时间</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个月</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审计服务合同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项目平均成本</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支付审计项目费用平均成本</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万元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审计服务合同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促进干部廉洁自律，节约资金</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促进领导干部廉洁自律，净化建筑市场，节约政府资金</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效果显著</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使用人员满意度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审计报告使用人员满意度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4、项目审计费绩效目标表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通过购买中介审计服务，在一个周期内对</w:t>
            </w:r>
            <w:r>
              <w:rPr>
                <w:rFonts w:ascii="方正书宋_GBK" w:eastAsia="方正书宋_GBK"/>
              </w:rPr>
              <w:t>3</w:t>
            </w:r>
            <w:r>
              <w:rPr>
                <w:rFonts w:hint="eastAsia" w:ascii="方正书宋_GBK" w:eastAsia="方正书宋_GBK"/>
              </w:rPr>
              <w:t>个政府投资项目进行审计，规范政府投资项目管理。节约政府投资，促进科学决策和廉政建设。充分发挥政府投资项目的社会效益和经济效益。</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审计项目数量</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审计项目数量</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个</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问题回查率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问题回查数量占发现问题数量之比</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监督审计时间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监督审计时间</w:t>
            </w:r>
          </w:p>
        </w:tc>
        <w:tc>
          <w:tcPr>
            <w:tcW w:w="2551" w:type="dxa"/>
            <w:noWrap w:val="0"/>
            <w:vAlign w:val="center"/>
          </w:tcPr>
          <w:p>
            <w:pPr>
              <w:spacing w:line="300" w:lineRule="exact"/>
              <w:jc w:val="left"/>
              <w:rPr>
                <w:rFonts w:hint="eastAsia" w:ascii="方正书宋_GBK" w:eastAsia="方正书宋_GBK"/>
              </w:rPr>
            </w:pPr>
            <w:r>
              <w:rPr>
                <w:rFonts w:ascii="方正书宋_GBK" w:eastAsia="方正书宋_GBK"/>
              </w:rPr>
              <w:t>1</w:t>
            </w:r>
            <w:r>
              <w:rPr>
                <w:rFonts w:hint="eastAsia" w:ascii="方正书宋_GBK" w:eastAsia="方正书宋_GBK"/>
              </w:rPr>
              <w:t>年</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审计项目单位成本</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当年审计完成项目的单位成本</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万元</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审计建议采纳率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被采纳的审计建议占全部审计建议的比率</w:t>
            </w:r>
          </w:p>
        </w:tc>
        <w:tc>
          <w:tcPr>
            <w:tcW w:w="2551" w:type="dxa"/>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审计报告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审计行为及效果满意度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大厂回族自治县审计局和被审计单位对中介机构审计行为及效果的满意度</w:t>
            </w:r>
          </w:p>
        </w:tc>
        <w:tc>
          <w:tcPr>
            <w:tcW w:w="2551" w:type="dxa"/>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问卷调查</w:t>
            </w:r>
          </w:p>
        </w:tc>
      </w:tr>
    </w:tbl>
    <w:p>
      <w:pPr>
        <w:spacing w:line="300" w:lineRule="exact"/>
        <w:jc w:val="left"/>
      </w:pPr>
    </w:p>
    <w:p>
      <w:pPr>
        <w:ind w:firstLine="562" w:firstLineChars="200"/>
        <w:jc w:val="left"/>
        <w:rPr>
          <w:rFonts w:hint="eastAsia" w:ascii="Times New Roman" w:hAnsi="宋体"/>
          <w:b/>
          <w:sz w:val="28"/>
        </w:rPr>
      </w:pPr>
      <w:r>
        <w:rPr>
          <w:rFonts w:hint="eastAsia" w:ascii="方正仿宋_GBK" w:eastAsia="方正仿宋_GBK"/>
          <w:b/>
          <w:sz w:val="28"/>
        </w:rPr>
        <w:t>5、残疾人就业保障金绩效目标表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000000" w:sz="6" w:space="0"/>
            <w:right w:val="single" w:color="000000" w:sz="6" w:space="0"/>
            <w:insideH w:val="single" w:color="auto" w:sz="6"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top w:val="single" w:color="000000" w:sz="6" w:space="0"/>
              <w:bottom w:val="nil"/>
            </w:tcBorders>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2756" w:type="dxa"/>
            <w:tcBorders>
              <w:top w:val="single" w:color="000000" w:sz="6" w:space="0"/>
              <w:bottom w:val="nil"/>
            </w:tcBorders>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促进和扶持残疾人就业创业。</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帮助残疾人融入社会。</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促进残疾人事业发展。</w:t>
            </w:r>
          </w:p>
        </w:tc>
      </w:tr>
    </w:tbl>
    <w:p>
      <w:pPr>
        <w:spacing w:line="14" w:lineRule="exact"/>
        <w:jc w:val="center"/>
        <w:rPr>
          <w:rFonts w:ascii="Times New Roman" w:hAnsi="宋体"/>
          <w:sz w:val="18"/>
        </w:rPr>
      </w:pPr>
      <w:r>
        <w:rPr>
          <w:rFonts w:ascii="方正书宋_GBK" w:eastAsia="方正书宋_GBK"/>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17" w:type="dxa"/>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35"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2551" w:type="dxa"/>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2268" w:type="dxa"/>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残疾人就业人数</w:t>
            </w:r>
          </w:p>
        </w:tc>
        <w:tc>
          <w:tcPr>
            <w:tcW w:w="2835" w:type="dxa"/>
            <w:noWrap w:val="0"/>
            <w:vAlign w:val="center"/>
          </w:tcPr>
          <w:p>
            <w:pPr>
              <w:spacing w:line="300" w:lineRule="exact"/>
              <w:jc w:val="left"/>
              <w:rPr>
                <w:rFonts w:ascii="方正书宋_GBK" w:eastAsia="方正书宋_GBK"/>
              </w:rPr>
            </w:pPr>
            <w:r>
              <w:rPr>
                <w:rFonts w:hint="eastAsia" w:ascii="方正书宋_GBK" w:eastAsia="方正书宋_GBK"/>
              </w:rPr>
              <w:t>新增残疾人就业人数</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2268" w:type="dxa"/>
            <w:noWrap w:val="0"/>
            <w:vAlign w:val="center"/>
          </w:tcPr>
          <w:p>
            <w:pPr>
              <w:spacing w:line="300" w:lineRule="exact"/>
              <w:jc w:val="left"/>
              <w:rPr>
                <w:rFonts w:ascii="方正书宋_GBK" w:eastAsia="方正书宋_GBK"/>
              </w:rPr>
            </w:pPr>
            <w:r>
              <w:rPr>
                <w:rFonts w:hint="eastAsia" w:ascii="方正书宋_GBK" w:eastAsia="方正书宋_GBK"/>
              </w:rPr>
              <w:t>残疾人保障金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支付时间</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实际支付保障金的时间</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月</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残疾人保障金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残疾人就业保障金拨付率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残疾人就业保障金拨付率</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残疾人保障金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restart"/>
            <w:noWrap w:val="0"/>
            <w:vAlign w:val="center"/>
          </w:tcPr>
          <w:p>
            <w:pPr>
              <w:spacing w:line="300" w:lineRule="exact"/>
              <w:jc w:val="center"/>
              <w:rPr>
                <w:rFonts w:hint="eastAsia" w:ascii="方正书宋_GBK" w:eastAsia="方正书宋_GBK"/>
              </w:rPr>
            </w:pPr>
            <w:r>
              <w:rPr>
                <w:rFonts w:hint="eastAsia" w:ascii="方正书宋_GBK" w:eastAsia="方正书宋_GBK"/>
              </w:rPr>
              <w:t>效益指标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促进和扶持残疾人就业创业</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促进和扶持残疾人就业创业</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人</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残疾人保障金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vMerge w:val="continue"/>
            <w:noWrap w:val="0"/>
            <w:vAlign w:val="center"/>
          </w:tcPr>
          <w:p>
            <w:pPr>
              <w:spacing w:line="300" w:lineRule="exact"/>
              <w:jc w:val="center"/>
              <w:rPr>
                <w:rFonts w:hint="eastAsia" w:ascii="方正书宋_GBK" w:eastAsia="方正书宋_GBK"/>
              </w:rPr>
            </w:pP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政策落实实施情况</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社会认知程度</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残疾人保障金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417" w:type="dxa"/>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对象满意度</w:t>
            </w:r>
          </w:p>
        </w:tc>
        <w:tc>
          <w:tcPr>
            <w:tcW w:w="2835" w:type="dxa"/>
            <w:noWrap w:val="0"/>
            <w:vAlign w:val="center"/>
          </w:tcPr>
          <w:p>
            <w:pPr>
              <w:spacing w:line="300" w:lineRule="exact"/>
              <w:jc w:val="left"/>
              <w:rPr>
                <w:rFonts w:hint="eastAsia" w:ascii="方正书宋_GBK" w:eastAsia="方正书宋_GBK"/>
              </w:rPr>
            </w:pPr>
            <w:r>
              <w:rPr>
                <w:rFonts w:hint="eastAsia" w:ascii="方正书宋_GBK" w:eastAsia="方正书宋_GBK"/>
              </w:rPr>
              <w:t>对象满意度</w:t>
            </w:r>
          </w:p>
        </w:tc>
        <w:tc>
          <w:tcPr>
            <w:tcW w:w="2551" w:type="dxa"/>
            <w:noWrap w:val="0"/>
            <w:vAlign w:val="center"/>
          </w:tcPr>
          <w:p>
            <w:pPr>
              <w:spacing w:line="300" w:lineRule="exact"/>
              <w:jc w:val="left"/>
              <w:rPr>
                <w:rFonts w:ascii="方正书宋_GBK" w:eastAsia="方正书宋_GBK"/>
              </w:rPr>
            </w:pPr>
            <w:r>
              <w:rPr>
                <w:rFonts w:ascii="方正书宋_GBK" w:eastAsia="方正书宋_GBK"/>
              </w:rPr>
              <w:t>100%</w:t>
            </w:r>
          </w:p>
        </w:tc>
        <w:tc>
          <w:tcPr>
            <w:tcW w:w="2268" w:type="dxa"/>
            <w:noWrap w:val="0"/>
            <w:vAlign w:val="center"/>
          </w:tcPr>
          <w:p>
            <w:pPr>
              <w:spacing w:line="300" w:lineRule="exact"/>
              <w:jc w:val="left"/>
              <w:rPr>
                <w:rFonts w:hint="eastAsia" w:ascii="方正书宋_GBK" w:eastAsia="方正书宋_GBK"/>
              </w:rPr>
            </w:pPr>
            <w:r>
              <w:rPr>
                <w:rFonts w:hint="eastAsia" w:ascii="方正书宋_GBK" w:eastAsia="方正书宋_GBK"/>
              </w:rPr>
              <w:t>残疾人保障金</w:t>
            </w:r>
          </w:p>
        </w:tc>
      </w:tr>
    </w:tbl>
    <w:p>
      <w:pPr>
        <w:spacing w:line="300" w:lineRule="exact"/>
        <w:jc w:val="left"/>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21</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0</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val="en-US" w:eastAsia="zh-CN"/>
              </w:rPr>
            </w:pPr>
            <w:r>
              <w:rPr>
                <w:rFonts w:hint="eastAsia" w:ascii="方正小标宋_GBK" w:eastAsia="方正小标宋_GBK" w:cs="Times New Roman"/>
                <w:sz w:val="24"/>
                <w:lang w:val="en-US" w:eastAsia="zh-CN"/>
              </w:rPr>
              <w:t>廊坊市</w:t>
            </w:r>
            <w:r>
              <w:rPr>
                <w:rFonts w:hint="eastAsia" w:ascii="方正小标宋_GBK" w:eastAsia="方正小标宋_GBK" w:cs="Times New Roman"/>
                <w:sz w:val="24"/>
              </w:rPr>
              <w:t>大厂回族自治县</w:t>
            </w:r>
            <w:r>
              <w:rPr>
                <w:rFonts w:hint="eastAsia" w:ascii="方正小标宋_GBK" w:eastAsia="方正小标宋_GBK" w:cs="Times New Roman"/>
                <w:sz w:val="24"/>
                <w:lang w:val="en-US" w:eastAsia="zh-CN"/>
              </w:rPr>
              <w:t>审计局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outlineLvl w:val="0"/>
        <w:rPr>
          <w:rFonts w:ascii="仿宋" w:hAnsi="仿宋" w:eastAsia="仿宋" w:cs="Times New Roman"/>
          <w:sz w:val="32"/>
          <w:szCs w:val="24"/>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仿宋" w:hAnsi="仿宋" w:eastAsia="仿宋" w:cs="Times New Roman"/>
          <w:sz w:val="32"/>
          <w:szCs w:val="24"/>
        </w:rPr>
        <w:t>注：无</w:t>
      </w:r>
      <w:r>
        <w:rPr>
          <w:rFonts w:hint="eastAsia" w:ascii="仿宋" w:hAnsi="仿宋" w:eastAsia="仿宋" w:cs="Times New Roman"/>
          <w:sz w:val="32"/>
          <w:szCs w:val="24"/>
          <w:lang w:val="en-US" w:eastAsia="zh-CN"/>
        </w:rPr>
        <w:t>政府采购预算</w:t>
      </w:r>
      <w:r>
        <w:rPr>
          <w:rFonts w:hint="eastAsia" w:ascii="仿宋" w:hAnsi="仿宋" w:eastAsia="仿宋" w:cs="Times New Roman"/>
          <w:sz w:val="32"/>
          <w:szCs w:val="24"/>
        </w:rPr>
        <w:t>，空表列示。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hint="eastAsia" w:ascii="Times New Roman" w:hAnsi="Times New Roman" w:eastAsia="仿宋" w:cs="Times New Roman"/>
          <w:sz w:val="32"/>
          <w:szCs w:val="32"/>
          <w:lang w:eastAsia="zh-CN"/>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val="en-US" w:eastAsia="zh-CN"/>
        </w:rPr>
        <w:t>审计局2020</w:t>
      </w:r>
      <w:r>
        <w:rPr>
          <w:rFonts w:ascii="仿宋" w:hAnsi="仿宋" w:eastAsia="仿宋" w:cs="Times New Roman"/>
          <w:sz w:val="32"/>
          <w:szCs w:val="32"/>
        </w:rPr>
        <w:t>年末固定资产金额为</w:t>
      </w:r>
      <w:r>
        <w:rPr>
          <w:rFonts w:hint="eastAsia" w:ascii="仿宋" w:hAnsi="仿宋" w:eastAsia="仿宋" w:cs="Times New Roman"/>
          <w:sz w:val="32"/>
          <w:szCs w:val="32"/>
          <w:lang w:val="en-US" w:eastAsia="zh-CN"/>
        </w:rPr>
        <w:t>222.91</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hint="eastAsia" w:ascii="仿宋" w:hAnsi="仿宋" w:eastAsia="仿宋" w:cs="Times New Roman"/>
          <w:sz w:val="32"/>
          <w:szCs w:val="32"/>
          <w:lang w:eastAsia="zh-CN"/>
        </w:rPr>
        <w:t>。</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val="en-US" w:eastAsia="zh-CN"/>
              </w:rPr>
              <w:t>审计局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222.91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33.36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189.55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w:t>
      </w:r>
      <w:r>
        <w:rPr>
          <w:rFonts w:hint="eastAsia" w:ascii="仿宋" w:hAnsi="仿宋" w:eastAsia="仿宋" w:cs="Times New Roman"/>
          <w:sz w:val="32"/>
          <w:szCs w:val="32"/>
          <w:lang w:val="en-US" w:eastAsia="zh-CN"/>
        </w:rPr>
        <w:t>县</w:t>
      </w:r>
      <w:r>
        <w:rPr>
          <w:rFonts w:ascii="仿宋" w:hAnsi="仿宋" w:eastAsia="仿宋" w:cs="Times New Roman"/>
          <w:sz w:val="32"/>
          <w:szCs w:val="32"/>
        </w:rPr>
        <w:t>级财政预算管理的“三公”经费，是指</w:t>
      </w:r>
      <w:r>
        <w:rPr>
          <w:rFonts w:hint="eastAsia" w:ascii="仿宋" w:hAnsi="仿宋" w:eastAsia="仿宋" w:cs="Times New Roman"/>
          <w:sz w:val="32"/>
          <w:szCs w:val="32"/>
          <w:lang w:val="en-US" w:eastAsia="zh-CN"/>
        </w:rPr>
        <w:t>县</w:t>
      </w:r>
      <w:r>
        <w:rPr>
          <w:rFonts w:ascii="仿宋" w:hAnsi="仿宋" w:eastAsia="仿宋" w:cs="Times New Roman"/>
          <w:sz w:val="32"/>
          <w:szCs w:val="32"/>
        </w:rPr>
        <w:t>级部门用财政拨款安排的因公出国（境）费、公务用车购置及运</w:t>
      </w:r>
      <w:r>
        <w:rPr>
          <w:rFonts w:hint="eastAsia" w:ascii="仿宋" w:hAnsi="仿宋" w:eastAsia="仿宋" w:cs="Times New Roman"/>
          <w:sz w:val="32"/>
          <w:szCs w:val="32"/>
          <w:lang w:val="en-US" w:eastAsia="zh-CN"/>
        </w:rPr>
        <w:t>行</w:t>
      </w:r>
      <w:r>
        <w:rPr>
          <w:rFonts w:ascii="仿宋" w:hAnsi="仿宋" w:eastAsia="仿宋" w:cs="Times New Roman"/>
          <w:sz w:val="32"/>
          <w:szCs w:val="32"/>
        </w:rPr>
        <w:t>费和公务接待费。其中，因公出国（境）费反映单位公务出国（境）的住宿费、旅费、伙食补助费、杂费、培训费等支出；公务用车购置及运</w:t>
      </w:r>
      <w:r>
        <w:rPr>
          <w:rFonts w:hint="eastAsia" w:ascii="仿宋" w:hAnsi="仿宋" w:eastAsia="仿宋" w:cs="Times New Roman"/>
          <w:sz w:val="32"/>
          <w:szCs w:val="32"/>
          <w:lang w:val="en-US" w:eastAsia="zh-CN"/>
        </w:rPr>
        <w:t>行</w:t>
      </w:r>
      <w:r>
        <w:rPr>
          <w:rFonts w:ascii="仿宋" w:hAnsi="仿宋" w:eastAsia="仿宋" w:cs="Times New Roman"/>
          <w:sz w:val="32"/>
          <w:szCs w:val="32"/>
        </w:rPr>
        <w:t>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00" w:usb3="00000000" w:csb0="00040001"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050DD"/>
    <w:rsid w:val="000261B2"/>
    <w:rsid w:val="000D16EE"/>
    <w:rsid w:val="001F687F"/>
    <w:rsid w:val="003909CD"/>
    <w:rsid w:val="00391E11"/>
    <w:rsid w:val="003F44D0"/>
    <w:rsid w:val="00406D17"/>
    <w:rsid w:val="004A54AA"/>
    <w:rsid w:val="004E0A4F"/>
    <w:rsid w:val="00507F82"/>
    <w:rsid w:val="0053255B"/>
    <w:rsid w:val="00536CE0"/>
    <w:rsid w:val="00611D60"/>
    <w:rsid w:val="00682F94"/>
    <w:rsid w:val="00774782"/>
    <w:rsid w:val="008552EF"/>
    <w:rsid w:val="008F2064"/>
    <w:rsid w:val="009832FD"/>
    <w:rsid w:val="00B80935"/>
    <w:rsid w:val="00D347CC"/>
    <w:rsid w:val="00E375C8"/>
    <w:rsid w:val="00E46D39"/>
    <w:rsid w:val="00E771B9"/>
    <w:rsid w:val="00EE07AC"/>
    <w:rsid w:val="03142694"/>
    <w:rsid w:val="170D09C4"/>
    <w:rsid w:val="27673DAE"/>
    <w:rsid w:val="30571AAC"/>
    <w:rsid w:val="3F7336C2"/>
    <w:rsid w:val="46AC546F"/>
    <w:rsid w:val="58EF4715"/>
    <w:rsid w:val="62770F34"/>
    <w:rsid w:val="64896907"/>
    <w:rsid w:val="65F35882"/>
    <w:rsid w:val="6DAB157C"/>
    <w:rsid w:val="77C50351"/>
    <w:rsid w:val="789D56D8"/>
    <w:rsid w:val="7B5F0907"/>
    <w:rsid w:val="7CDD4BAF"/>
    <w:rsid w:val="7E6E4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496</Words>
  <Characters>2829</Characters>
  <Lines>23</Lines>
  <Paragraphs>6</Paragraphs>
  <TotalTime>5</TotalTime>
  <ScaleCrop>false</ScaleCrop>
  <LinksUpToDate>false</LinksUpToDate>
  <CharactersWithSpaces>3319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SJ</cp:lastModifiedBy>
  <cp:lastPrinted>2018-01-30T06:12:00Z</cp:lastPrinted>
  <dcterms:modified xsi:type="dcterms:W3CDTF">2023-04-11T06:14:53Z</dcterms:modified>
  <cp:revision>91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